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77" w:rsidRPr="00534A16" w:rsidRDefault="00D70877">
      <w:pPr>
        <w:rPr>
          <w:rFonts w:ascii="Calibri" w:eastAsia="Times New Roman" w:hAnsi="Calibri" w:cs="Calibri"/>
          <w:sz w:val="20"/>
          <w:szCs w:val="20"/>
        </w:rPr>
      </w:pPr>
      <w:r w:rsidRPr="00534A16">
        <w:rPr>
          <w:rFonts w:ascii="Calibri" w:eastAsia="Times New Roman" w:hAnsi="Calibri" w:cs="Calibri"/>
          <w:sz w:val="20"/>
          <w:szCs w:val="20"/>
        </w:rPr>
        <w:t>There have been discussions within the co</w:t>
      </w:r>
      <w:r w:rsidR="00534A16" w:rsidRPr="00534A16">
        <w:rPr>
          <w:rFonts w:ascii="Calibri" w:eastAsia="Times New Roman" w:hAnsi="Calibri" w:cs="Calibri"/>
          <w:sz w:val="20"/>
          <w:szCs w:val="20"/>
        </w:rPr>
        <w:t>mmunity about when the</w:t>
      </w:r>
      <w:r w:rsidRPr="00534A16">
        <w:rPr>
          <w:rFonts w:ascii="Calibri" w:eastAsia="Times New Roman" w:hAnsi="Calibri" w:cs="Calibri"/>
          <w:sz w:val="20"/>
          <w:szCs w:val="20"/>
        </w:rPr>
        <w:t xml:space="preserve"> use of the lake could be resumed post herbicide treatment (</w:t>
      </w:r>
      <w:proofErr w:type="spellStart"/>
      <w:r w:rsidRPr="00534A16">
        <w:rPr>
          <w:rFonts w:ascii="Calibri" w:eastAsia="Times New Roman" w:hAnsi="Calibri" w:cs="Calibri"/>
          <w:sz w:val="20"/>
          <w:szCs w:val="20"/>
        </w:rPr>
        <w:t>Diquat</w:t>
      </w:r>
      <w:proofErr w:type="spellEnd"/>
      <w:r w:rsidRPr="00534A16">
        <w:rPr>
          <w:rFonts w:ascii="Calibri" w:eastAsia="Times New Roman" w:hAnsi="Calibri" w:cs="Calibri"/>
          <w:sz w:val="20"/>
          <w:szCs w:val="20"/>
        </w:rPr>
        <w:t>).   The guidelines since 1995 have stated normal activities such as swimming can be resumed 24 hours post application.</w:t>
      </w:r>
      <w:r w:rsidR="00534A16" w:rsidRPr="00534A16">
        <w:rPr>
          <w:rFonts w:ascii="Calibri" w:eastAsia="Times New Roman" w:hAnsi="Calibri" w:cs="Calibri"/>
          <w:sz w:val="20"/>
          <w:szCs w:val="20"/>
        </w:rPr>
        <w:t xml:space="preserve">     In 2002, a reassessment of </w:t>
      </w:r>
      <w:proofErr w:type="spellStart"/>
      <w:r w:rsidR="00534A16" w:rsidRPr="00534A16">
        <w:rPr>
          <w:rFonts w:ascii="Calibri" w:eastAsia="Times New Roman" w:hAnsi="Calibri" w:cs="Calibri"/>
          <w:sz w:val="20"/>
          <w:szCs w:val="20"/>
        </w:rPr>
        <w:t>Diquat</w:t>
      </w:r>
      <w:proofErr w:type="spellEnd"/>
      <w:r w:rsidR="00534A16" w:rsidRPr="00534A16">
        <w:rPr>
          <w:rFonts w:ascii="Calibri" w:eastAsia="Times New Roman" w:hAnsi="Calibri" w:cs="Calibri"/>
          <w:sz w:val="20"/>
          <w:szCs w:val="20"/>
        </w:rPr>
        <w:t xml:space="preserve"> was performed and the guidelines with regards to this restriction were unchanged from 24 hours.   The LMPA has researched the data and found the source of the 14 day requirement which has been quoted.   This requirement was from the 1986 EPA registration of </w:t>
      </w:r>
      <w:proofErr w:type="spellStart"/>
      <w:r w:rsidR="00534A16" w:rsidRPr="00534A16">
        <w:rPr>
          <w:rFonts w:ascii="Calibri" w:eastAsia="Times New Roman" w:hAnsi="Calibri" w:cs="Calibri"/>
          <w:sz w:val="20"/>
          <w:szCs w:val="20"/>
        </w:rPr>
        <w:t>Diquat</w:t>
      </w:r>
      <w:proofErr w:type="spellEnd"/>
      <w:r w:rsidR="00534A16" w:rsidRPr="00534A16">
        <w:rPr>
          <w:rFonts w:ascii="Calibri" w:eastAsia="Times New Roman" w:hAnsi="Calibri" w:cs="Calibri"/>
          <w:sz w:val="20"/>
          <w:szCs w:val="20"/>
        </w:rPr>
        <w:t xml:space="preserve"> which was referenced as recently as 1993.    This requirement was changed 20 years ago </w:t>
      </w:r>
      <w:r w:rsidR="00226389">
        <w:rPr>
          <w:rFonts w:ascii="Calibri" w:eastAsia="Times New Roman" w:hAnsi="Calibri" w:cs="Calibri"/>
          <w:sz w:val="20"/>
          <w:szCs w:val="20"/>
        </w:rPr>
        <w:t>to 24 hours and it has</w:t>
      </w:r>
      <w:r w:rsidR="00534A16" w:rsidRPr="00534A16">
        <w:rPr>
          <w:rFonts w:ascii="Calibri" w:eastAsia="Times New Roman" w:hAnsi="Calibri" w:cs="Calibri"/>
          <w:sz w:val="20"/>
          <w:szCs w:val="20"/>
        </w:rPr>
        <w:t xml:space="preserve"> survived a subsequent reassessment therefore the 24 hour requirement is the most current.</w:t>
      </w:r>
    </w:p>
    <w:p w:rsidR="00534A16" w:rsidRPr="00534A16" w:rsidRDefault="00534A16">
      <w:pPr>
        <w:rPr>
          <w:rFonts w:ascii="Calibri" w:eastAsia="Times New Roman" w:hAnsi="Calibri" w:cs="Calibri"/>
          <w:sz w:val="20"/>
          <w:szCs w:val="20"/>
        </w:rPr>
      </w:pPr>
      <w:r w:rsidRPr="00534A16">
        <w:rPr>
          <w:rFonts w:ascii="Calibri" w:eastAsia="Times New Roman" w:hAnsi="Calibri" w:cs="Calibri"/>
          <w:sz w:val="20"/>
          <w:szCs w:val="20"/>
        </w:rPr>
        <w:t>Please see below for timelines and references.</w:t>
      </w:r>
    </w:p>
    <w:p w:rsidR="00D70877" w:rsidRPr="00534A16" w:rsidRDefault="00D70877">
      <w:pPr>
        <w:rPr>
          <w:rFonts w:ascii="Calibri" w:eastAsia="Times New Roman" w:hAnsi="Calibri" w:cs="Calibri"/>
          <w:b/>
          <w:sz w:val="20"/>
          <w:szCs w:val="20"/>
        </w:rPr>
      </w:pPr>
    </w:p>
    <w:p w:rsidR="00E725E9" w:rsidRPr="00534A16" w:rsidRDefault="00E725E9">
      <w:pPr>
        <w:rPr>
          <w:rFonts w:ascii="Calibri" w:eastAsia="Times New Roman" w:hAnsi="Calibri" w:cs="Calibri"/>
          <w:sz w:val="20"/>
          <w:szCs w:val="20"/>
        </w:rPr>
      </w:pPr>
      <w:r w:rsidRPr="00534A16">
        <w:rPr>
          <w:rFonts w:ascii="Calibri" w:eastAsia="Times New Roman" w:hAnsi="Calibri" w:cs="Calibri"/>
          <w:b/>
          <w:sz w:val="20"/>
          <w:szCs w:val="20"/>
        </w:rPr>
        <w:t>September, 1993</w:t>
      </w:r>
      <w:r w:rsidRPr="00534A16">
        <w:rPr>
          <w:rFonts w:ascii="Calibri" w:eastAsia="Times New Roman" w:hAnsi="Calibri" w:cs="Calibri"/>
          <w:sz w:val="20"/>
          <w:szCs w:val="20"/>
        </w:rPr>
        <w:t xml:space="preserve"> – EXTONET publication (Cornell University, et al) referenced the </w:t>
      </w:r>
      <w:r w:rsidRPr="00534A16">
        <w:rPr>
          <w:rFonts w:ascii="Calibri" w:eastAsia="Times New Roman" w:hAnsi="Calibri" w:cs="Calibri"/>
          <w:b/>
          <w:sz w:val="20"/>
          <w:szCs w:val="20"/>
        </w:rPr>
        <w:t>June 1986</w:t>
      </w:r>
      <w:r w:rsidRPr="00534A16">
        <w:rPr>
          <w:rFonts w:ascii="Calibri" w:eastAsia="Times New Roman" w:hAnsi="Calibri" w:cs="Calibri"/>
          <w:sz w:val="20"/>
          <w:szCs w:val="20"/>
        </w:rPr>
        <w:t xml:space="preserve"> EPA registration of </w:t>
      </w:r>
      <w:proofErr w:type="spellStart"/>
      <w:r w:rsidRPr="00534A16">
        <w:rPr>
          <w:rFonts w:ascii="Calibri" w:eastAsia="Times New Roman" w:hAnsi="Calibri" w:cs="Calibri"/>
          <w:sz w:val="20"/>
          <w:szCs w:val="20"/>
        </w:rPr>
        <w:t>Diquat</w:t>
      </w:r>
      <w:proofErr w:type="spellEnd"/>
      <w:r w:rsidR="00534A16" w:rsidRPr="00534A16">
        <w:rPr>
          <w:rFonts w:ascii="Calibri" w:eastAsia="Times New Roman" w:hAnsi="Calibri" w:cs="Calibri"/>
          <w:sz w:val="20"/>
          <w:szCs w:val="20"/>
        </w:rPr>
        <w:t>.  The 1986 registration</w:t>
      </w:r>
      <w:r w:rsidRPr="00534A16">
        <w:rPr>
          <w:rFonts w:ascii="Calibri" w:eastAsia="Times New Roman" w:hAnsi="Calibri" w:cs="Calibri"/>
          <w:sz w:val="20"/>
          <w:szCs w:val="20"/>
        </w:rPr>
        <w:t xml:space="preserve"> included the following statement:    </w:t>
      </w:r>
    </w:p>
    <w:p w:rsidR="00E725E9" w:rsidRPr="00534A16" w:rsidRDefault="00E725E9" w:rsidP="00E725E9">
      <w:pPr>
        <w:spacing w:before="100" w:beforeAutospacing="1" w:after="100" w:afterAutospacing="1"/>
        <w:rPr>
          <w:sz w:val="20"/>
          <w:szCs w:val="20"/>
        </w:rPr>
      </w:pPr>
      <w:r w:rsidRPr="00534A16">
        <w:rPr>
          <w:i/>
          <w:iCs/>
          <w:sz w:val="20"/>
          <w:szCs w:val="20"/>
        </w:rPr>
        <w:t xml:space="preserve">The EPA requires a 14-day interval between treatment of water with </w:t>
      </w:r>
      <w:proofErr w:type="spellStart"/>
      <w:r w:rsidRPr="00534A16">
        <w:rPr>
          <w:i/>
          <w:iCs/>
          <w:sz w:val="20"/>
          <w:szCs w:val="20"/>
        </w:rPr>
        <w:t>diquat</w:t>
      </w:r>
      <w:proofErr w:type="spellEnd"/>
      <w:r w:rsidRPr="00534A16">
        <w:rPr>
          <w:i/>
          <w:iCs/>
          <w:sz w:val="20"/>
          <w:szCs w:val="20"/>
        </w:rPr>
        <w:t xml:space="preserve"> dibromide and use of treated waters for domestic, livestock, or irrigation purposes. </w:t>
      </w:r>
      <w:r w:rsidRPr="00534A16">
        <w:rPr>
          <w:b/>
          <w:i/>
          <w:iCs/>
          <w:sz w:val="20"/>
          <w:szCs w:val="20"/>
        </w:rPr>
        <w:t>Swimming, fishing and watering of domestic animals should not be allowed for at least 14 days after application of the herbicide to water</w:t>
      </w:r>
      <w:r w:rsidRPr="00534A16">
        <w:rPr>
          <w:i/>
          <w:iCs/>
          <w:sz w:val="20"/>
          <w:szCs w:val="20"/>
        </w:rPr>
        <w:t>. The herbicide cannot be used for any purpose in commercial fish processing areas (35).</w:t>
      </w:r>
    </w:p>
    <w:p w:rsidR="00166E90" w:rsidRPr="00534A16" w:rsidRDefault="007A645F">
      <w:pPr>
        <w:rPr>
          <w:rFonts w:ascii="Calibri" w:eastAsia="Times New Roman" w:hAnsi="Calibri" w:cs="Calibri"/>
          <w:sz w:val="20"/>
          <w:szCs w:val="20"/>
        </w:rPr>
      </w:pPr>
      <w:hyperlink r:id="rId6" w:history="1">
        <w:r w:rsidR="00E725E9" w:rsidRPr="00534A16">
          <w:rPr>
            <w:rStyle w:val="Hyperlink"/>
            <w:rFonts w:ascii="Calibri" w:eastAsia="Times New Roman" w:hAnsi="Calibri" w:cs="Calibri"/>
            <w:sz w:val="20"/>
            <w:szCs w:val="20"/>
          </w:rPr>
          <w:t>http://pmep.cce.cornell.edu/profiles/extoxnet/dienochlor-glyphosate/diquat-ext.html</w:t>
        </w:r>
      </w:hyperlink>
    </w:p>
    <w:p w:rsidR="00D70877" w:rsidRPr="00534A16" w:rsidRDefault="00D70877">
      <w:pPr>
        <w:rPr>
          <w:rFonts w:ascii="Calibri" w:eastAsia="Times New Roman" w:hAnsi="Calibri" w:cs="Calibri"/>
          <w:sz w:val="20"/>
          <w:szCs w:val="20"/>
        </w:rPr>
      </w:pPr>
    </w:p>
    <w:p w:rsidR="00E725E9" w:rsidRPr="00534A16" w:rsidRDefault="00D70877">
      <w:pPr>
        <w:rPr>
          <w:rFonts w:ascii="Calibri" w:eastAsia="Times New Roman" w:hAnsi="Calibri" w:cs="Calibri"/>
          <w:sz w:val="20"/>
          <w:szCs w:val="20"/>
        </w:rPr>
      </w:pPr>
      <w:r w:rsidRPr="00534A16">
        <w:rPr>
          <w:rFonts w:ascii="Calibri" w:eastAsia="Times New Roman" w:hAnsi="Calibri" w:cs="Calibri"/>
          <w:b/>
          <w:sz w:val="20"/>
          <w:szCs w:val="20"/>
        </w:rPr>
        <w:t>July, 1995</w:t>
      </w:r>
      <w:r w:rsidRPr="00534A16">
        <w:rPr>
          <w:rFonts w:ascii="Calibri" w:eastAsia="Times New Roman" w:hAnsi="Calibri" w:cs="Calibri"/>
          <w:sz w:val="20"/>
          <w:szCs w:val="20"/>
        </w:rPr>
        <w:t xml:space="preserve"> – EPA reregistration of </w:t>
      </w:r>
      <w:proofErr w:type="spellStart"/>
      <w:r w:rsidRPr="00534A16">
        <w:rPr>
          <w:rFonts w:ascii="Calibri" w:eastAsia="Times New Roman" w:hAnsi="Calibri" w:cs="Calibri"/>
          <w:sz w:val="20"/>
          <w:szCs w:val="20"/>
        </w:rPr>
        <w:t>Diquat</w:t>
      </w:r>
      <w:proofErr w:type="spellEnd"/>
      <w:r w:rsidRPr="00534A16">
        <w:rPr>
          <w:rFonts w:ascii="Calibri" w:eastAsia="Times New Roman" w:hAnsi="Calibri" w:cs="Calibri"/>
          <w:sz w:val="20"/>
          <w:szCs w:val="20"/>
        </w:rPr>
        <w:t xml:space="preserve"> was updated with the following guidelines relative to swimming (page 73):</w:t>
      </w:r>
    </w:p>
    <w:p w:rsidR="00E725E9" w:rsidRPr="00534A16" w:rsidRDefault="00E725E9" w:rsidP="00E725E9">
      <w:pPr>
        <w:pStyle w:val="NormalWeb"/>
        <w:rPr>
          <w:rFonts w:ascii="Calibri" w:hAnsi="Calibri" w:cs="Calibri"/>
          <w:b/>
          <w:bCs/>
          <w:i/>
          <w:iCs/>
          <w:sz w:val="20"/>
          <w:szCs w:val="20"/>
        </w:rPr>
      </w:pPr>
      <w:r w:rsidRPr="00534A16">
        <w:rPr>
          <w:rFonts w:ascii="Calibri" w:hAnsi="Calibri" w:cs="Calibri"/>
          <w:i/>
          <w:iCs/>
          <w:sz w:val="20"/>
          <w:szCs w:val="20"/>
        </w:rPr>
        <w:t xml:space="preserve">For occupational end-use products containing </w:t>
      </w:r>
      <w:proofErr w:type="spellStart"/>
      <w:r w:rsidRPr="00534A16">
        <w:rPr>
          <w:rFonts w:ascii="Calibri" w:hAnsi="Calibri" w:cs="Calibri"/>
          <w:i/>
          <w:iCs/>
          <w:sz w:val="20"/>
          <w:szCs w:val="20"/>
        </w:rPr>
        <w:t>diquat</w:t>
      </w:r>
      <w:proofErr w:type="spellEnd"/>
      <w:r w:rsidRPr="00534A16">
        <w:rPr>
          <w:rFonts w:ascii="Calibri" w:hAnsi="Calibri" w:cs="Calibri"/>
          <w:i/>
          <w:iCs/>
          <w:sz w:val="20"/>
          <w:szCs w:val="20"/>
        </w:rPr>
        <w:t xml:space="preserve"> as an active ingredient, the Agency is retaining the 24-hour swimming prohibition for each use of the product on aquatic sites. The</w:t>
      </w:r>
      <w:r w:rsidRPr="00534A16">
        <w:rPr>
          <w:rFonts w:ascii="Calibri" w:hAnsi="Calibri" w:cs="Calibri"/>
          <w:sz w:val="20"/>
          <w:szCs w:val="20"/>
        </w:rPr>
        <w:t xml:space="preserve"> </w:t>
      </w:r>
      <w:r w:rsidRPr="00534A16">
        <w:rPr>
          <w:rFonts w:ascii="Calibri" w:hAnsi="Calibri" w:cs="Calibri"/>
          <w:i/>
          <w:iCs/>
          <w:sz w:val="20"/>
          <w:szCs w:val="20"/>
        </w:rPr>
        <w:t xml:space="preserve">basis for this recommendation is the post-application exposure assessment for swimmers following aquatic applications. Data demonstrates an aquatic half-life of 1 - 2 days. </w:t>
      </w:r>
      <w:proofErr w:type="gramStart"/>
      <w:r w:rsidRPr="00534A16">
        <w:rPr>
          <w:rFonts w:ascii="Calibri" w:hAnsi="Calibri" w:cs="Calibri"/>
          <w:i/>
          <w:iCs/>
          <w:sz w:val="20"/>
          <w:szCs w:val="20"/>
        </w:rPr>
        <w:t xml:space="preserve">After that </w:t>
      </w:r>
      <w:proofErr w:type="spellStart"/>
      <w:r w:rsidRPr="00534A16">
        <w:rPr>
          <w:rFonts w:ascii="Calibri" w:hAnsi="Calibri" w:cs="Calibri"/>
          <w:i/>
          <w:iCs/>
          <w:sz w:val="20"/>
          <w:szCs w:val="20"/>
        </w:rPr>
        <w:t>diquat</w:t>
      </w:r>
      <w:proofErr w:type="spellEnd"/>
      <w:r w:rsidRPr="00534A16">
        <w:rPr>
          <w:rFonts w:ascii="Calibri" w:hAnsi="Calibri" w:cs="Calibri"/>
          <w:i/>
          <w:iCs/>
          <w:sz w:val="20"/>
          <w:szCs w:val="20"/>
        </w:rPr>
        <w:t xml:space="preserve"> will be bound to sediment.</w:t>
      </w:r>
      <w:proofErr w:type="gramEnd"/>
      <w:r w:rsidRPr="00534A16">
        <w:rPr>
          <w:rFonts w:ascii="Calibri" w:hAnsi="Calibri" w:cs="Calibri"/>
          <w:i/>
          <w:iCs/>
          <w:sz w:val="20"/>
          <w:szCs w:val="20"/>
        </w:rPr>
        <w:t> </w:t>
      </w:r>
      <w:r w:rsidRPr="00534A16">
        <w:rPr>
          <w:rFonts w:ascii="Calibri" w:hAnsi="Calibri" w:cs="Calibri"/>
          <w:b/>
          <w:bCs/>
          <w:i/>
          <w:iCs/>
          <w:sz w:val="20"/>
          <w:szCs w:val="20"/>
        </w:rPr>
        <w:t>Swimmers are prohibited from swimming in the treated water for 24 hours. </w:t>
      </w:r>
    </w:p>
    <w:p w:rsidR="00D70877" w:rsidRPr="00534A16" w:rsidRDefault="007A645F" w:rsidP="00E725E9">
      <w:pPr>
        <w:rPr>
          <w:color w:val="1F497D" w:themeColor="text2"/>
          <w:sz w:val="20"/>
          <w:szCs w:val="20"/>
          <w:u w:val="single"/>
        </w:rPr>
      </w:pPr>
      <w:hyperlink r:id="rId7" w:history="1">
        <w:r w:rsidR="00D70877" w:rsidRPr="00534A16">
          <w:rPr>
            <w:rStyle w:val="Hyperlink"/>
            <w:sz w:val="20"/>
            <w:szCs w:val="20"/>
          </w:rPr>
          <w:t>http://www.epa.gov/oppsrrd1/reregistration/diquat/</w:t>
        </w:r>
      </w:hyperlink>
    </w:p>
    <w:p w:rsidR="00D70877" w:rsidRPr="00534A16" w:rsidRDefault="00D70877" w:rsidP="00E725E9">
      <w:pPr>
        <w:rPr>
          <w:color w:val="1F497D" w:themeColor="text2"/>
          <w:sz w:val="20"/>
          <w:szCs w:val="20"/>
          <w:u w:val="single"/>
        </w:rPr>
      </w:pPr>
    </w:p>
    <w:p w:rsidR="00D70877" w:rsidRPr="00534A16" w:rsidRDefault="00D70877" w:rsidP="00E725E9">
      <w:pPr>
        <w:rPr>
          <w:sz w:val="20"/>
          <w:szCs w:val="20"/>
        </w:rPr>
      </w:pPr>
      <w:r w:rsidRPr="00534A16">
        <w:rPr>
          <w:b/>
          <w:sz w:val="20"/>
          <w:szCs w:val="20"/>
        </w:rPr>
        <w:t>April/May, 2002</w:t>
      </w:r>
      <w:r w:rsidRPr="00534A16">
        <w:rPr>
          <w:sz w:val="20"/>
          <w:szCs w:val="20"/>
        </w:rPr>
        <w:t xml:space="preserve"> – a Tolerance Reassessment Decision (TRED) was issued as required by the Food Quality Protection Act (FQPA).   This was needed since the FQPA was passed in 1996 while the latest registration of </w:t>
      </w:r>
      <w:proofErr w:type="spellStart"/>
      <w:r w:rsidRPr="00534A16">
        <w:rPr>
          <w:sz w:val="20"/>
          <w:szCs w:val="20"/>
        </w:rPr>
        <w:t>Diquat</w:t>
      </w:r>
      <w:proofErr w:type="spellEnd"/>
      <w:r w:rsidRPr="00534A16">
        <w:rPr>
          <w:sz w:val="20"/>
          <w:szCs w:val="20"/>
        </w:rPr>
        <w:t xml:space="preserve"> was in 1995.   Although there was no</w:t>
      </w:r>
      <w:r w:rsidR="00534A16">
        <w:rPr>
          <w:sz w:val="20"/>
          <w:szCs w:val="20"/>
        </w:rPr>
        <w:t xml:space="preserve"> stated</w:t>
      </w:r>
      <w:r w:rsidRPr="00534A16">
        <w:rPr>
          <w:sz w:val="20"/>
          <w:szCs w:val="20"/>
        </w:rPr>
        <w:t xml:space="preserve"> change in the 24 hour requirement, a key statement from this assessment is:</w:t>
      </w:r>
    </w:p>
    <w:p w:rsidR="00D70877" w:rsidRPr="00D70877" w:rsidRDefault="00D70877" w:rsidP="00D70877">
      <w:pPr>
        <w:spacing w:after="100" w:afterAutospacing="1" w:line="240" w:lineRule="auto"/>
        <w:rPr>
          <w:rFonts w:eastAsia="Times New Roman" w:cstheme="minorHAnsi"/>
          <w:i/>
          <w:color w:val="000000"/>
          <w:sz w:val="20"/>
          <w:szCs w:val="20"/>
          <w:lang w:val="en"/>
        </w:rPr>
      </w:pPr>
      <w:r w:rsidRPr="00D70877">
        <w:rPr>
          <w:rFonts w:eastAsia="Times New Roman" w:cstheme="minorHAnsi"/>
          <w:i/>
          <w:color w:val="000000"/>
          <w:sz w:val="20"/>
          <w:szCs w:val="20"/>
          <w:lang w:val="en"/>
        </w:rPr>
        <w:t>Post-application recreational risks to golfers and swimmers in treated lakes were found to be not of concern, as well.</w:t>
      </w:r>
    </w:p>
    <w:p w:rsidR="00D70877" w:rsidRPr="00534A16" w:rsidRDefault="007A645F" w:rsidP="00E725E9">
      <w:pPr>
        <w:rPr>
          <w:rFonts w:ascii="Times New Roman" w:hAnsi="Times New Roman" w:cs="Times New Roman"/>
          <w:sz w:val="20"/>
          <w:szCs w:val="20"/>
          <w:u w:val="single"/>
        </w:rPr>
      </w:pPr>
      <w:hyperlink r:id="rId8" w:history="1">
        <w:r w:rsidR="00D70877" w:rsidRPr="00534A16">
          <w:rPr>
            <w:rStyle w:val="Hyperlink"/>
            <w:rFonts w:ascii="Times New Roman" w:hAnsi="Times New Roman" w:cs="Times New Roman"/>
            <w:sz w:val="20"/>
            <w:szCs w:val="20"/>
          </w:rPr>
          <w:t>http://www.epa.gov/pesticides/reregistration/REDs/factsheets/diquat_tred_fs.htm</w:t>
        </w:r>
      </w:hyperlink>
    </w:p>
    <w:p w:rsidR="00E725E9" w:rsidRPr="00534A16" w:rsidRDefault="007A645F" w:rsidP="007A645F">
      <w:pPr>
        <w:rPr>
          <w:sz w:val="20"/>
          <w:szCs w:val="20"/>
        </w:rPr>
      </w:pPr>
      <w:hyperlink r:id="rId9" w:history="1">
        <w:r w:rsidR="00D70877" w:rsidRPr="00534A16">
          <w:rPr>
            <w:rStyle w:val="Hyperlink"/>
            <w:sz w:val="20"/>
            <w:szCs w:val="20"/>
          </w:rPr>
          <w:t>http://www.epa.gov/oppsrrd1/reregistration/REDs/diquat_tred.pdf</w:t>
        </w:r>
      </w:hyperlink>
      <w:bookmarkStart w:id="0" w:name="_GoBack"/>
      <w:bookmarkEnd w:id="0"/>
    </w:p>
    <w:p w:rsidR="00E725E9" w:rsidRPr="00534A16" w:rsidRDefault="00E725E9">
      <w:pPr>
        <w:rPr>
          <w:sz w:val="20"/>
          <w:szCs w:val="20"/>
        </w:rPr>
      </w:pPr>
    </w:p>
    <w:sectPr w:rsidR="00E725E9" w:rsidRPr="00534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AF05778"/>
    <w:multiLevelType w:val="multilevel"/>
    <w:tmpl w:val="DF84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E9"/>
    <w:rsid w:val="00021C51"/>
    <w:rsid w:val="000329AE"/>
    <w:rsid w:val="000D6FC8"/>
    <w:rsid w:val="000E335D"/>
    <w:rsid w:val="000E3C0E"/>
    <w:rsid w:val="00123E7A"/>
    <w:rsid w:val="001666EB"/>
    <w:rsid w:val="00166E90"/>
    <w:rsid w:val="00183FF5"/>
    <w:rsid w:val="00196C09"/>
    <w:rsid w:val="001E1F63"/>
    <w:rsid w:val="001F6923"/>
    <w:rsid w:val="00226389"/>
    <w:rsid w:val="002A3704"/>
    <w:rsid w:val="00365E46"/>
    <w:rsid w:val="003D38D8"/>
    <w:rsid w:val="003D69EF"/>
    <w:rsid w:val="003D7E5C"/>
    <w:rsid w:val="0042513D"/>
    <w:rsid w:val="00437F37"/>
    <w:rsid w:val="0044526A"/>
    <w:rsid w:val="004809F4"/>
    <w:rsid w:val="004A4C20"/>
    <w:rsid w:val="00501E02"/>
    <w:rsid w:val="00534A16"/>
    <w:rsid w:val="005403D6"/>
    <w:rsid w:val="005933B3"/>
    <w:rsid w:val="005B4EAA"/>
    <w:rsid w:val="005C202B"/>
    <w:rsid w:val="00615AE7"/>
    <w:rsid w:val="00657E2B"/>
    <w:rsid w:val="007A645F"/>
    <w:rsid w:val="007B2FFA"/>
    <w:rsid w:val="008357DC"/>
    <w:rsid w:val="00864C2B"/>
    <w:rsid w:val="00884506"/>
    <w:rsid w:val="008F2B7C"/>
    <w:rsid w:val="00944215"/>
    <w:rsid w:val="0095127D"/>
    <w:rsid w:val="009950E7"/>
    <w:rsid w:val="009B1673"/>
    <w:rsid w:val="009B570F"/>
    <w:rsid w:val="00A0404C"/>
    <w:rsid w:val="00A0516B"/>
    <w:rsid w:val="00A1334D"/>
    <w:rsid w:val="00A82A6E"/>
    <w:rsid w:val="00A93416"/>
    <w:rsid w:val="00B17561"/>
    <w:rsid w:val="00B77FA7"/>
    <w:rsid w:val="00BA00AE"/>
    <w:rsid w:val="00BF6234"/>
    <w:rsid w:val="00C35560"/>
    <w:rsid w:val="00C97CE6"/>
    <w:rsid w:val="00CB3BBB"/>
    <w:rsid w:val="00D04D1D"/>
    <w:rsid w:val="00D12C5B"/>
    <w:rsid w:val="00D636B7"/>
    <w:rsid w:val="00D70877"/>
    <w:rsid w:val="00D74D96"/>
    <w:rsid w:val="00DE3EE9"/>
    <w:rsid w:val="00DF01CF"/>
    <w:rsid w:val="00E2475D"/>
    <w:rsid w:val="00E35389"/>
    <w:rsid w:val="00E725E9"/>
    <w:rsid w:val="00E7418D"/>
    <w:rsid w:val="00EE48AA"/>
    <w:rsid w:val="00F824BE"/>
    <w:rsid w:val="00FA084A"/>
    <w:rsid w:val="00FB7970"/>
    <w:rsid w:val="00FC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5E9"/>
    <w:rPr>
      <w:color w:val="0000FF"/>
      <w:u w:val="single"/>
    </w:rPr>
  </w:style>
  <w:style w:type="paragraph" w:styleId="NormalWeb">
    <w:name w:val="Normal (Web)"/>
    <w:basedOn w:val="Normal"/>
    <w:uiPriority w:val="99"/>
    <w:semiHidden/>
    <w:unhideWhenUsed/>
    <w:rsid w:val="00E725E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5E9"/>
    <w:rPr>
      <w:color w:val="0000FF"/>
      <w:u w:val="single"/>
    </w:rPr>
  </w:style>
  <w:style w:type="paragraph" w:styleId="NormalWeb">
    <w:name w:val="Normal (Web)"/>
    <w:basedOn w:val="Normal"/>
    <w:uiPriority w:val="99"/>
    <w:semiHidden/>
    <w:unhideWhenUsed/>
    <w:rsid w:val="00E725E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62996">
      <w:bodyDiv w:val="1"/>
      <w:marLeft w:val="0"/>
      <w:marRight w:val="0"/>
      <w:marTop w:val="0"/>
      <w:marBottom w:val="0"/>
      <w:divBdr>
        <w:top w:val="none" w:sz="0" w:space="0" w:color="auto"/>
        <w:left w:val="none" w:sz="0" w:space="0" w:color="auto"/>
        <w:bottom w:val="none" w:sz="0" w:space="0" w:color="auto"/>
        <w:right w:val="none" w:sz="0" w:space="0" w:color="auto"/>
      </w:divBdr>
    </w:div>
    <w:div w:id="1528640012">
      <w:bodyDiv w:val="1"/>
      <w:marLeft w:val="0"/>
      <w:marRight w:val="5"/>
      <w:marTop w:val="0"/>
      <w:marBottom w:val="600"/>
      <w:divBdr>
        <w:top w:val="none" w:sz="0" w:space="0" w:color="auto"/>
        <w:left w:val="none" w:sz="0" w:space="0" w:color="auto"/>
        <w:bottom w:val="none" w:sz="0" w:space="0" w:color="auto"/>
        <w:right w:val="none" w:sz="0" w:space="0" w:color="auto"/>
      </w:divBdr>
      <w:divsChild>
        <w:div w:id="1442801937">
          <w:marLeft w:val="2265"/>
          <w:marRight w:val="0"/>
          <w:marTop w:val="450"/>
          <w:marBottom w:val="300"/>
          <w:divBdr>
            <w:top w:val="none" w:sz="0" w:space="0" w:color="auto"/>
            <w:left w:val="none" w:sz="0" w:space="0" w:color="auto"/>
            <w:bottom w:val="none" w:sz="0" w:space="0" w:color="auto"/>
            <w:right w:val="none" w:sz="0" w:space="0" w:color="auto"/>
          </w:divBdr>
        </w:div>
      </w:divsChild>
    </w:div>
    <w:div w:id="1668970653">
      <w:bodyDiv w:val="1"/>
      <w:marLeft w:val="0"/>
      <w:marRight w:val="0"/>
      <w:marTop w:val="0"/>
      <w:marBottom w:val="0"/>
      <w:divBdr>
        <w:top w:val="none" w:sz="0" w:space="0" w:color="auto"/>
        <w:left w:val="none" w:sz="0" w:space="0" w:color="auto"/>
        <w:bottom w:val="none" w:sz="0" w:space="0" w:color="auto"/>
        <w:right w:val="none" w:sz="0" w:space="0" w:color="auto"/>
      </w:divBdr>
    </w:div>
    <w:div w:id="18833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pesticides/reregistration/REDs/factsheets/diquat_tred_fs.htm" TargetMode="External"/><Relationship Id="rId3" Type="http://schemas.microsoft.com/office/2007/relationships/stylesWithEffects" Target="stylesWithEffects.xml"/><Relationship Id="rId7" Type="http://schemas.openxmlformats.org/officeDocument/2006/relationships/hyperlink" Target="http://www.epa.gov/oppsrrd1/reregistration/diqu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mep.cce.cornell.edu/profiles/extoxnet/dienochlor-glyphosate/diquat-ext.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gov/oppsrrd1/reregistration/REDs/diquat_tr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Drew</dc:creator>
  <cp:lastModifiedBy>Holland, Patricia</cp:lastModifiedBy>
  <cp:revision>2</cp:revision>
  <dcterms:created xsi:type="dcterms:W3CDTF">2015-04-23T14:05:00Z</dcterms:created>
  <dcterms:modified xsi:type="dcterms:W3CDTF">2015-04-23T14:05:00Z</dcterms:modified>
</cp:coreProperties>
</file>